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DE32" w14:textId="77777777" w:rsidR="00C54FD4" w:rsidRDefault="00C54FD4" w:rsidP="00C54FD4">
      <w:pPr>
        <w:spacing w:line="360" w:lineRule="auto"/>
        <w:ind w:right="706"/>
        <w:jc w:val="both"/>
        <w:rPr>
          <w:rFonts w:ascii="Tahoma" w:hAnsi="Tahoma" w:cs="Tahoma"/>
          <w:b/>
          <w:sz w:val="22"/>
          <w:szCs w:val="22"/>
        </w:rPr>
      </w:pPr>
      <w:r>
        <w:rPr>
          <w:rFonts w:ascii="Tahoma" w:hAnsi="Tahoma" w:cs="Tahoma"/>
          <w:b/>
          <w:sz w:val="22"/>
          <w:szCs w:val="22"/>
        </w:rPr>
        <w:t xml:space="preserve">Weilheim i.OB ist Dienstsitz der </w:t>
      </w:r>
      <w:r w:rsidRPr="00C54FD4">
        <w:rPr>
          <w:rFonts w:ascii="Tahoma" w:hAnsi="Tahoma" w:cs="Tahoma"/>
          <w:b/>
          <w:sz w:val="22"/>
          <w:szCs w:val="22"/>
        </w:rPr>
        <w:t>Bewährungshilfe und Führungsaufsicht</w:t>
      </w:r>
      <w:r>
        <w:rPr>
          <w:rFonts w:ascii="Tahoma" w:hAnsi="Tahoma" w:cs="Tahoma"/>
          <w:b/>
          <w:sz w:val="22"/>
          <w:szCs w:val="22"/>
          <w:u w:val="single"/>
        </w:rPr>
        <w:t xml:space="preserve"> </w:t>
      </w:r>
      <w:r w:rsidRPr="00C54FD4">
        <w:rPr>
          <w:rFonts w:ascii="Tahoma" w:hAnsi="Tahoma" w:cs="Tahoma"/>
          <w:b/>
          <w:sz w:val="22"/>
          <w:szCs w:val="22"/>
        </w:rPr>
        <w:t>des Landgerichts München II</w:t>
      </w:r>
      <w:r>
        <w:rPr>
          <w:rFonts w:ascii="Tahoma" w:hAnsi="Tahoma" w:cs="Tahoma"/>
          <w:b/>
          <w:sz w:val="22"/>
          <w:szCs w:val="22"/>
        </w:rPr>
        <w:t xml:space="preserve"> für die Amtsgerichtsbezirke Garmisch-Partenkirchen und Weilheim i.OB.</w:t>
      </w:r>
    </w:p>
    <w:p w14:paraId="2E2D15AF" w14:textId="77777777" w:rsidR="00C54FD4" w:rsidRDefault="00C54FD4" w:rsidP="00C54FD4">
      <w:pPr>
        <w:spacing w:line="360" w:lineRule="auto"/>
        <w:ind w:right="706"/>
        <w:jc w:val="both"/>
        <w:rPr>
          <w:rFonts w:ascii="Tahoma" w:hAnsi="Tahoma" w:cs="Tahoma"/>
          <w:b/>
          <w:sz w:val="22"/>
          <w:szCs w:val="22"/>
        </w:rPr>
      </w:pPr>
    </w:p>
    <w:p w14:paraId="12A5953F" w14:textId="22BB9DE7" w:rsidR="00C54FD4" w:rsidRDefault="00C54FD4" w:rsidP="00C54FD4">
      <w:pPr>
        <w:spacing w:line="360" w:lineRule="auto"/>
        <w:ind w:right="706"/>
        <w:jc w:val="both"/>
        <w:rPr>
          <w:rFonts w:ascii="Tahoma" w:hAnsi="Tahoma" w:cs="Tahoma"/>
          <w:b/>
          <w:sz w:val="22"/>
          <w:szCs w:val="22"/>
        </w:rPr>
      </w:pPr>
      <w:r>
        <w:rPr>
          <w:rFonts w:ascii="Tahoma" w:hAnsi="Tahoma" w:cs="Tahoma"/>
          <w:b/>
          <w:sz w:val="22"/>
          <w:szCs w:val="22"/>
        </w:rPr>
        <w:t xml:space="preserve">Die Mitarbeiterinnen/Mitarbeiter sind untergebracht im </w:t>
      </w:r>
      <w:r w:rsidR="00C85FC9">
        <w:rPr>
          <w:rFonts w:ascii="Tahoma" w:hAnsi="Tahoma" w:cs="Tahoma"/>
          <w:b/>
          <w:sz w:val="22"/>
          <w:szCs w:val="22"/>
        </w:rPr>
        <w:t>Hauptgebäude Alpenstraße 16</w:t>
      </w:r>
      <w:r>
        <w:rPr>
          <w:rFonts w:ascii="Tahoma" w:hAnsi="Tahoma" w:cs="Tahoma"/>
          <w:b/>
          <w:sz w:val="22"/>
          <w:szCs w:val="22"/>
        </w:rPr>
        <w:t>, 82362 Weilheim</w:t>
      </w:r>
    </w:p>
    <w:p w14:paraId="755B4DFA" w14:textId="77777777" w:rsidR="00C54FD4" w:rsidRPr="00C54FD4" w:rsidRDefault="00C54FD4" w:rsidP="00C54FD4">
      <w:pPr>
        <w:spacing w:line="360" w:lineRule="auto"/>
        <w:ind w:right="706"/>
        <w:jc w:val="both"/>
        <w:rPr>
          <w:rFonts w:ascii="Tahoma" w:hAnsi="Tahoma" w:cs="Tahoma"/>
          <w:b/>
          <w:sz w:val="22"/>
          <w:szCs w:val="22"/>
        </w:rPr>
      </w:pPr>
    </w:p>
    <w:p w14:paraId="4ACB6396" w14:textId="6E8F0F15" w:rsidR="00C54FD4" w:rsidRPr="00C54FD4" w:rsidRDefault="00C54FD4" w:rsidP="00C54FD4">
      <w:pPr>
        <w:rPr>
          <w:rFonts w:ascii="Tahoma" w:hAnsi="Tahoma" w:cs="Tahoma"/>
          <w:sz w:val="22"/>
          <w:szCs w:val="22"/>
          <w:u w:val="single"/>
        </w:rPr>
      </w:pPr>
      <w:r w:rsidRPr="00C54FD4">
        <w:rPr>
          <w:rFonts w:ascii="Tahoma" w:hAnsi="Tahoma" w:cs="Tahoma"/>
          <w:b/>
          <w:sz w:val="22"/>
          <w:szCs w:val="22"/>
        </w:rPr>
        <w:t>Die Geschäftsstelle der Bewährungshelfer ist telefonisch zu erreichen über die Nummer</w:t>
      </w:r>
      <w:r>
        <w:rPr>
          <w:rFonts w:ascii="Tahoma" w:hAnsi="Tahoma" w:cs="Tahoma"/>
          <w:b/>
          <w:sz w:val="22"/>
          <w:szCs w:val="22"/>
        </w:rPr>
        <w:t xml:space="preserve"> </w:t>
      </w:r>
      <w:r w:rsidRPr="00C54FD4">
        <w:rPr>
          <w:rFonts w:ascii="Tahoma" w:hAnsi="Tahoma" w:cs="Tahoma"/>
          <w:sz w:val="22"/>
          <w:szCs w:val="22"/>
        </w:rPr>
        <w:fldChar w:fldCharType="begin"/>
      </w:r>
      <w:r w:rsidRPr="00C54FD4">
        <w:rPr>
          <w:rFonts w:ascii="Tahoma" w:hAnsi="Tahoma" w:cs="Tahoma"/>
          <w:sz w:val="22"/>
          <w:szCs w:val="22"/>
        </w:rPr>
        <w:instrText xml:space="preserve"> XE "Geschäftsstelle der Bewährungshelfer" </w:instrText>
      </w:r>
      <w:r w:rsidRPr="00C54FD4">
        <w:rPr>
          <w:rFonts w:ascii="Tahoma" w:hAnsi="Tahoma" w:cs="Tahoma"/>
          <w:sz w:val="22"/>
          <w:szCs w:val="22"/>
        </w:rPr>
        <w:fldChar w:fldCharType="end"/>
      </w:r>
      <w:r w:rsidRPr="00C54FD4">
        <w:rPr>
          <w:rFonts w:ascii="Tahoma" w:hAnsi="Tahoma" w:cs="Tahoma"/>
          <w:sz w:val="22"/>
          <w:szCs w:val="22"/>
          <w:shd w:val="solid" w:color="DDDDDD" w:fill="FFFFFF"/>
        </w:rPr>
        <w:t>0881 – 998 601</w:t>
      </w:r>
      <w:r>
        <w:rPr>
          <w:rFonts w:ascii="Tahoma" w:hAnsi="Tahoma" w:cs="Tahoma"/>
          <w:sz w:val="22"/>
          <w:szCs w:val="22"/>
          <w:shd w:val="solid" w:color="DDDDDD" w:fill="FFFFFF"/>
        </w:rPr>
        <w:t xml:space="preserve">; Faxe sind zu richten an die Nummer </w:t>
      </w:r>
      <w:r w:rsidR="00C85FC9">
        <w:rPr>
          <w:rFonts w:ascii="Tahoma" w:hAnsi="Tahoma" w:cs="Tahoma"/>
          <w:sz w:val="22"/>
          <w:szCs w:val="22"/>
          <w:shd w:val="solid" w:color="DDDDDD" w:fill="FFFFFF"/>
        </w:rPr>
        <w:t>09621 / 96241-3995</w:t>
      </w:r>
    </w:p>
    <w:p w14:paraId="77B83D64" w14:textId="77777777" w:rsidR="00C54FD4" w:rsidRDefault="00C54FD4" w:rsidP="00852763">
      <w:pPr>
        <w:pStyle w:val="3berschriftname"/>
        <w:tabs>
          <w:tab w:val="clear" w:pos="6663"/>
          <w:tab w:val="right" w:pos="709"/>
        </w:tabs>
        <w:jc w:val="center"/>
        <w:rPr>
          <w:rFonts w:ascii="Tahoma" w:hAnsi="Tahoma" w:cs="Tahoma"/>
          <w:sz w:val="22"/>
          <w:szCs w:val="22"/>
          <w:bdr w:val="single" w:sz="4" w:space="0" w:color="auto" w:frame="1"/>
          <w:shd w:val="solid" w:color="DDDDDD" w:fill="FFFFFF"/>
        </w:rPr>
      </w:pPr>
      <w:bookmarkStart w:id="0" w:name="Melzer"/>
      <w:bookmarkEnd w:id="0"/>
    </w:p>
    <w:p w14:paraId="7218259A" w14:textId="77777777" w:rsidR="00852763" w:rsidRPr="00852763" w:rsidRDefault="00852763" w:rsidP="00852763">
      <w:pPr>
        <w:spacing w:before="100" w:beforeAutospacing="1" w:after="100" w:afterAutospacing="1"/>
        <w:outlineLvl w:val="2"/>
        <w:rPr>
          <w:b/>
          <w:bCs/>
          <w:sz w:val="27"/>
          <w:szCs w:val="27"/>
        </w:rPr>
      </w:pPr>
      <w:bookmarkStart w:id="1" w:name="anker_sprungmarke_0_5"/>
      <w:r w:rsidRPr="00852763">
        <w:rPr>
          <w:b/>
          <w:bCs/>
          <w:sz w:val="27"/>
          <w:szCs w:val="27"/>
        </w:rPr>
        <w:t>Gesetzlicher Rahmen</w:t>
      </w:r>
      <w:bookmarkEnd w:id="1"/>
    </w:p>
    <w:p w14:paraId="236783F3" w14:textId="77777777" w:rsidR="009761B3" w:rsidRDefault="00852763" w:rsidP="00E67628">
      <w:pPr>
        <w:spacing w:before="100" w:beforeAutospacing="1" w:after="240"/>
        <w:jc w:val="both"/>
        <w:rPr>
          <w:sz w:val="24"/>
          <w:szCs w:val="24"/>
        </w:rPr>
      </w:pPr>
      <w:r w:rsidRPr="00852763">
        <w:rPr>
          <w:sz w:val="24"/>
          <w:szCs w:val="24"/>
        </w:rPr>
        <w:t xml:space="preserve">Die Bewährungshilfe arbeitet </w:t>
      </w:r>
      <w:proofErr w:type="gramStart"/>
      <w:r w:rsidRPr="00852763">
        <w:rPr>
          <w:sz w:val="24"/>
          <w:szCs w:val="24"/>
        </w:rPr>
        <w:t>nach folgenden</w:t>
      </w:r>
      <w:proofErr w:type="gramEnd"/>
      <w:r w:rsidRPr="00852763">
        <w:rPr>
          <w:sz w:val="24"/>
          <w:szCs w:val="24"/>
        </w:rPr>
        <w:t xml:space="preserve"> gesetzlichen Grundlagen:</w:t>
      </w:r>
    </w:p>
    <w:p w14:paraId="553DD69F" w14:textId="77777777" w:rsidR="009761B3" w:rsidRDefault="00852763" w:rsidP="00E67628">
      <w:pPr>
        <w:spacing w:before="100" w:beforeAutospacing="1" w:after="240"/>
        <w:jc w:val="both"/>
        <w:rPr>
          <w:sz w:val="24"/>
          <w:szCs w:val="24"/>
        </w:rPr>
      </w:pPr>
      <w:r w:rsidRPr="00852763">
        <w:rPr>
          <w:sz w:val="24"/>
          <w:szCs w:val="24"/>
        </w:rPr>
        <w:br/>
        <w:t xml:space="preserve">§ 56 d </w:t>
      </w:r>
      <w:hyperlink r:id="rId7" w:tgtFrame="_blank" w:tooltip="Externer Link in neuem Fenster" w:history="1">
        <w:r w:rsidRPr="00852763">
          <w:rPr>
            <w:color w:val="0000FF"/>
            <w:sz w:val="24"/>
            <w:szCs w:val="24"/>
            <w:u w:val="single"/>
          </w:rPr>
          <w:t>StGB [extern]</w:t>
        </w:r>
      </w:hyperlink>
      <w:r w:rsidRPr="00852763">
        <w:rPr>
          <w:sz w:val="24"/>
          <w:szCs w:val="24"/>
        </w:rPr>
        <w:t xml:space="preserve"> sowie §§ 24 und 25 </w:t>
      </w:r>
      <w:hyperlink r:id="rId8" w:tgtFrame="_blank" w:tooltip="Externer Link in neuem Fenster" w:history="1">
        <w:r w:rsidRPr="00852763">
          <w:rPr>
            <w:color w:val="0000FF"/>
            <w:sz w:val="24"/>
            <w:szCs w:val="24"/>
            <w:u w:val="single"/>
          </w:rPr>
          <w:t>JGG [extern]</w:t>
        </w:r>
      </w:hyperlink>
      <w:r w:rsidRPr="00852763">
        <w:rPr>
          <w:sz w:val="24"/>
          <w:szCs w:val="24"/>
        </w:rPr>
        <w:t xml:space="preserve"> und § 68 a StGB und §§ 21 und 22 der </w:t>
      </w:r>
      <w:hyperlink r:id="rId9" w:tgtFrame="_blank" w:tooltip="Externer Link in neuem Fenster" w:history="1">
        <w:r w:rsidRPr="00852763">
          <w:rPr>
            <w:color w:val="0000FF"/>
            <w:sz w:val="24"/>
            <w:szCs w:val="24"/>
            <w:u w:val="single"/>
          </w:rPr>
          <w:t>Bayerischen Gnadenordnung [extern]</w:t>
        </w:r>
      </w:hyperlink>
      <w:r w:rsidRPr="00852763">
        <w:rPr>
          <w:sz w:val="24"/>
          <w:szCs w:val="24"/>
        </w:rPr>
        <w:t xml:space="preserve"> .</w:t>
      </w:r>
    </w:p>
    <w:p w14:paraId="405F6755" w14:textId="77777777" w:rsidR="00E67628" w:rsidRDefault="00852763" w:rsidP="00E67628">
      <w:pPr>
        <w:spacing w:before="100" w:beforeAutospacing="1" w:after="240"/>
        <w:jc w:val="both"/>
        <w:rPr>
          <w:sz w:val="24"/>
          <w:szCs w:val="24"/>
        </w:rPr>
      </w:pPr>
      <w:r w:rsidRPr="00852763">
        <w:rPr>
          <w:sz w:val="24"/>
          <w:szCs w:val="24"/>
        </w:rPr>
        <w:br/>
        <w:t>Eine Bewährung kann gleich im Urteil ausgesprochen werden (z.B. § 21 JGG bei Straftätern unter 21 Jahren oder § 56 StGB bei Erwachsenen), wenn die Strafhöhe nicht über zwei Jahren liegt und das Gericht von einer positiven Sozialprognose ausgeht.</w:t>
      </w:r>
      <w:r w:rsidRPr="00852763">
        <w:rPr>
          <w:sz w:val="24"/>
          <w:szCs w:val="24"/>
        </w:rPr>
        <w:br/>
      </w:r>
      <w:r w:rsidRPr="00852763">
        <w:rPr>
          <w:sz w:val="24"/>
          <w:szCs w:val="24"/>
        </w:rPr>
        <w:br/>
        <w:t>Es besteht auch die Möglichkeit, dass der Rest einer Freiheitsstrafe oder Jugendstrafe nach Teilverbüßung zur Bewährung ausgesetzt wird; in der Regel nach Verbüßung von zwei Dritteln, in besonderen Fällen auch schon nach Halbstrafe (§§ 57 Abs. 1, 2</w:t>
      </w:r>
      <w:r w:rsidR="00E67628">
        <w:rPr>
          <w:sz w:val="24"/>
          <w:szCs w:val="24"/>
        </w:rPr>
        <w:t xml:space="preserve"> StGB und §§ 88 Abs. 1, 2 JGG).</w:t>
      </w:r>
    </w:p>
    <w:p w14:paraId="270BEBFE" w14:textId="77777777" w:rsidR="00E67628" w:rsidRDefault="00852763" w:rsidP="00E67628">
      <w:pPr>
        <w:spacing w:before="100" w:beforeAutospacing="1" w:after="240"/>
        <w:jc w:val="both"/>
        <w:rPr>
          <w:sz w:val="24"/>
          <w:szCs w:val="24"/>
        </w:rPr>
      </w:pPr>
      <w:r w:rsidRPr="00852763">
        <w:rPr>
          <w:sz w:val="24"/>
          <w:szCs w:val="24"/>
        </w:rPr>
        <w:br/>
        <w:t xml:space="preserve">Eine Freiheits- oder Jugendstrafe kann auch dann zur Bewährung ausgesetzt werden, wenn der Verurteilte eine Drogentherapie in einer staatlich anerkannten Einrichtung erfolgreich abgeschlossen hat (§§ 35 und 36 </w:t>
      </w:r>
      <w:hyperlink r:id="rId10" w:tgtFrame="_blank" w:tooltip="Externer Link in neuem Fenster" w:history="1">
        <w:r w:rsidRPr="00852763">
          <w:rPr>
            <w:color w:val="0000FF"/>
            <w:sz w:val="24"/>
            <w:szCs w:val="24"/>
            <w:u w:val="single"/>
          </w:rPr>
          <w:t>BtMG [extern]</w:t>
        </w:r>
      </w:hyperlink>
      <w:r w:rsidRPr="00852763">
        <w:rPr>
          <w:sz w:val="24"/>
          <w:szCs w:val="24"/>
        </w:rPr>
        <w:t xml:space="preserve"> ).</w:t>
      </w:r>
    </w:p>
    <w:p w14:paraId="0F692706" w14:textId="77777777" w:rsidR="00E67628" w:rsidRDefault="00852763" w:rsidP="00E67628">
      <w:pPr>
        <w:spacing w:before="100" w:beforeAutospacing="1" w:after="240"/>
        <w:jc w:val="both"/>
        <w:rPr>
          <w:sz w:val="24"/>
          <w:szCs w:val="24"/>
        </w:rPr>
      </w:pPr>
      <w:r w:rsidRPr="00852763">
        <w:rPr>
          <w:sz w:val="24"/>
          <w:szCs w:val="24"/>
        </w:rPr>
        <w:br/>
        <w:t>Die Bewährungszeit wird vom Gericht durch Beschluss festgesetzt und dauert bei Erwachsenen in der Regel zwei bis fünf Jahre, bei Jugendlichen zwei bis drei Jahre. Ein nach Jugendgerichtsgesetz (JGG) Verurteilter erhält per Gesetz immer einen Bewährungshelfer zugeteilt, den der Richter bestellt (§ 24 JGG). Ein erwachsener Verurteilter erhält einen Bewährungshelfer nur durch eine entsprechende Anordnung des Richters (§ 56 d StGB). Die Bewährungszeit kann nachträglich vom Gericht aus besonderem Grund verlängert oder verkürzt werden oder es kann die Unterstellung unter einen Bewährungshelfer aufgehoben werden.</w:t>
      </w:r>
    </w:p>
    <w:p w14:paraId="500ACA0D" w14:textId="77777777" w:rsidR="00E67628" w:rsidRDefault="00852763" w:rsidP="00E67628">
      <w:pPr>
        <w:spacing w:before="100" w:beforeAutospacing="1" w:after="240"/>
        <w:jc w:val="both"/>
        <w:rPr>
          <w:sz w:val="24"/>
          <w:szCs w:val="24"/>
        </w:rPr>
      </w:pPr>
      <w:r w:rsidRPr="00852763">
        <w:rPr>
          <w:sz w:val="24"/>
          <w:szCs w:val="24"/>
        </w:rPr>
        <w:br/>
        <w:t xml:space="preserve">Ein weiteres Aufgabengebiet der Bewährungshilfe ist die Betreuung im Rahmen der Führungsaufsicht, die sich in der praktischen Ausgestaltung von Bewährungsaufsichten nicht </w:t>
      </w:r>
      <w:r w:rsidRPr="00852763">
        <w:rPr>
          <w:sz w:val="24"/>
          <w:szCs w:val="24"/>
        </w:rPr>
        <w:lastRenderedPageBreak/>
        <w:t xml:space="preserve">erheblich unterscheidet (§ 68 a StGB). Gesetzliche Voraussetzung hierfür ist u.a. die Anordnung einer Unterbringung in einem psychiatrischen Krankenhaus (§ 63 StGB) oder einer Unterbringung in einer Entziehungsanstalt (§ 64 StGB). Wenn eine solche Unterbringung entweder zugleich mit der Anordnung (§ 67 b StGB) oder nach dem Aufenthalt in einem entsprechenden Bezirkskrankenhaus zur Bewährung ausgesetzt wird, tritt Führungsaufsicht ein und das Gericht bestellt einen Bewährungshelfer. </w:t>
      </w:r>
      <w:r w:rsidRPr="00852763">
        <w:rPr>
          <w:sz w:val="24"/>
          <w:szCs w:val="24"/>
        </w:rPr>
        <w:br/>
      </w:r>
      <w:r w:rsidRPr="00852763">
        <w:rPr>
          <w:sz w:val="24"/>
          <w:szCs w:val="24"/>
        </w:rPr>
        <w:br/>
        <w:t>Ebenso tritt Führungsaufsicht ein, wenn ein Verurteilter eine Freiheitsstrafe von mindestens zwei Jahren oder bei Sexualdelikten von einem Jahr, vollständig verbüßt hat (§ 68 f StGB).</w:t>
      </w:r>
    </w:p>
    <w:p w14:paraId="48F62964" w14:textId="77777777" w:rsidR="00852763" w:rsidRPr="00852763" w:rsidRDefault="00852763" w:rsidP="00E67628">
      <w:pPr>
        <w:spacing w:before="100" w:beforeAutospacing="1" w:after="240"/>
        <w:jc w:val="both"/>
        <w:rPr>
          <w:sz w:val="24"/>
          <w:szCs w:val="24"/>
        </w:rPr>
      </w:pPr>
      <w:r w:rsidRPr="00852763">
        <w:rPr>
          <w:sz w:val="24"/>
          <w:szCs w:val="24"/>
        </w:rPr>
        <w:br/>
        <w:t xml:space="preserve">Führungsaufsichten dauen in der Regel fünf Jahre. </w:t>
      </w:r>
    </w:p>
    <w:p w14:paraId="269EC4E9" w14:textId="77777777" w:rsidR="009761B3" w:rsidRDefault="00852763" w:rsidP="00E67628">
      <w:pPr>
        <w:spacing w:before="100" w:beforeAutospacing="1" w:after="100" w:afterAutospacing="1"/>
        <w:jc w:val="both"/>
        <w:rPr>
          <w:b/>
          <w:bCs/>
          <w:sz w:val="24"/>
          <w:szCs w:val="24"/>
        </w:rPr>
      </w:pPr>
      <w:r w:rsidRPr="00852763">
        <w:rPr>
          <w:b/>
          <w:bCs/>
          <w:sz w:val="24"/>
          <w:szCs w:val="24"/>
        </w:rPr>
        <w:t>Schweigepflicht und Berichtspflicht des Bewährungshelfers</w:t>
      </w:r>
    </w:p>
    <w:p w14:paraId="33F4E17B" w14:textId="77777777" w:rsidR="00E67628" w:rsidRDefault="00852763" w:rsidP="00E67628">
      <w:pPr>
        <w:spacing w:before="100" w:beforeAutospacing="1" w:after="100" w:afterAutospacing="1"/>
        <w:jc w:val="both"/>
        <w:rPr>
          <w:sz w:val="24"/>
          <w:szCs w:val="24"/>
        </w:rPr>
      </w:pPr>
      <w:r w:rsidRPr="00852763">
        <w:rPr>
          <w:b/>
          <w:bCs/>
          <w:sz w:val="24"/>
          <w:szCs w:val="24"/>
        </w:rPr>
        <w:br/>
      </w:r>
      <w:r w:rsidRPr="00852763">
        <w:rPr>
          <w:sz w:val="24"/>
          <w:szCs w:val="24"/>
        </w:rPr>
        <w:t xml:space="preserve">Bewährungshelfer unterliegen einer gesetzlichen Schweigepflicht wie z.B. Ärzte und Psychologen gemäß § 203 StGB. Persönliche Geheimnisse, die ihnen in ihrer dienstlichen Funktion von einem Probanden anvertraut werden, dürfen ohne dessen Einverständnis nicht </w:t>
      </w:r>
      <w:proofErr w:type="gramStart"/>
      <w:r w:rsidRPr="00852763">
        <w:rPr>
          <w:sz w:val="24"/>
          <w:szCs w:val="24"/>
        </w:rPr>
        <w:t>weiter gegeben</w:t>
      </w:r>
      <w:proofErr w:type="gramEnd"/>
      <w:r w:rsidRPr="00852763">
        <w:rPr>
          <w:sz w:val="24"/>
          <w:szCs w:val="24"/>
        </w:rPr>
        <w:t xml:space="preserve"> werden. Ihre Schweigepflicht wird eingeschränkt durch die gesetzliche Berichtspflicht (z.B. § 56 d Abs. 3 StGB oder § 25 JGG). Der Bewährungshelfer berichtet dem zuständigen Gericht über die Lebensführung, die Erfüllung oder Nichterfüllung gerichtlicher Auflagen und Weisungen sowie ggf. über neue Straftaten, die ihm bekannt geworden sind. </w:t>
      </w:r>
    </w:p>
    <w:p w14:paraId="547B066C" w14:textId="77777777" w:rsidR="00852763" w:rsidRPr="00852763" w:rsidRDefault="00852763" w:rsidP="00E67628">
      <w:pPr>
        <w:spacing w:before="100" w:beforeAutospacing="1" w:after="100" w:afterAutospacing="1"/>
        <w:jc w:val="both"/>
        <w:rPr>
          <w:sz w:val="24"/>
          <w:szCs w:val="24"/>
        </w:rPr>
      </w:pPr>
      <w:r w:rsidRPr="00852763">
        <w:rPr>
          <w:sz w:val="24"/>
          <w:szCs w:val="24"/>
        </w:rPr>
        <w:br/>
        <w:t xml:space="preserve">Bewährungshelfer haben kein Zeugnisverweigerungsrecht, d.h. sie müssen z.B. in einem Verfahren gegen ihre Probanden aussagen, wenn sie als Zeuge benannt werden. </w:t>
      </w:r>
    </w:p>
    <w:p w14:paraId="0EB235CE" w14:textId="77777777" w:rsidR="00852763" w:rsidRPr="00852763" w:rsidRDefault="00852763" w:rsidP="00852763">
      <w:pPr>
        <w:rPr>
          <w:sz w:val="24"/>
          <w:szCs w:val="24"/>
        </w:rPr>
      </w:pPr>
      <w:hyperlink r:id="rId11" w:anchor="stmjpagetop#stmjpagetop" w:tooltip="Zurück zur Inhaltsübersicht" w:history="1">
        <w:r w:rsidRPr="00852763">
          <w:rPr>
            <w:color w:val="0000FF"/>
            <w:sz w:val="24"/>
            <w:szCs w:val="24"/>
            <w:u w:val="single"/>
          </w:rPr>
          <w:t xml:space="preserve">Nach </w:t>
        </w:r>
        <w:proofErr w:type="gramStart"/>
        <w:r w:rsidRPr="00852763">
          <w:rPr>
            <w:color w:val="0000FF"/>
            <w:sz w:val="24"/>
            <w:szCs w:val="24"/>
            <w:u w:val="single"/>
          </w:rPr>
          <w:t>Oben</w:t>
        </w:r>
        <w:proofErr w:type="gramEnd"/>
      </w:hyperlink>
      <w:r w:rsidRPr="00852763">
        <w:rPr>
          <w:sz w:val="24"/>
          <w:szCs w:val="24"/>
        </w:rPr>
        <w:t xml:space="preserve"> </w:t>
      </w:r>
    </w:p>
    <w:p w14:paraId="65C6C7C5" w14:textId="77777777" w:rsidR="00852763" w:rsidRPr="00852763" w:rsidRDefault="00852763" w:rsidP="00852763">
      <w:pPr>
        <w:spacing w:before="100" w:beforeAutospacing="1" w:after="100" w:afterAutospacing="1"/>
        <w:outlineLvl w:val="2"/>
        <w:rPr>
          <w:b/>
          <w:bCs/>
          <w:sz w:val="27"/>
          <w:szCs w:val="27"/>
        </w:rPr>
      </w:pPr>
      <w:bookmarkStart w:id="2" w:name="anker_sprungmarke_0_6"/>
      <w:r w:rsidRPr="00852763">
        <w:rPr>
          <w:b/>
          <w:bCs/>
          <w:sz w:val="27"/>
          <w:szCs w:val="27"/>
        </w:rPr>
        <w:t>Aufgaben</w:t>
      </w:r>
      <w:bookmarkEnd w:id="2"/>
    </w:p>
    <w:p w14:paraId="15EAC9A7" w14:textId="77777777" w:rsidR="00E67628" w:rsidRDefault="00852763" w:rsidP="00E67628">
      <w:pPr>
        <w:spacing w:before="100" w:beforeAutospacing="1" w:after="100" w:afterAutospacing="1"/>
        <w:jc w:val="both"/>
        <w:rPr>
          <w:sz w:val="24"/>
          <w:szCs w:val="24"/>
        </w:rPr>
      </w:pPr>
      <w:r w:rsidRPr="00852763">
        <w:rPr>
          <w:sz w:val="24"/>
          <w:szCs w:val="24"/>
        </w:rPr>
        <w:t>Bewährungshilfe soll die soziale Integration der Probanden in Staat und Gesellschaft fördern und diese unterstützen, ein Leben ohne Straftaten zu führen. Sie leistet somit einen Beitrag zur öffentlichen Sicherheit.</w:t>
      </w:r>
    </w:p>
    <w:p w14:paraId="6B46D386" w14:textId="77777777" w:rsidR="009761B3" w:rsidRDefault="00852763" w:rsidP="00E67628">
      <w:pPr>
        <w:spacing w:before="100" w:beforeAutospacing="1" w:after="100" w:afterAutospacing="1"/>
        <w:jc w:val="both"/>
        <w:rPr>
          <w:sz w:val="24"/>
          <w:szCs w:val="24"/>
        </w:rPr>
      </w:pPr>
      <w:r w:rsidRPr="00852763">
        <w:rPr>
          <w:sz w:val="24"/>
          <w:szCs w:val="24"/>
        </w:rPr>
        <w:br/>
        <w:t xml:space="preserve">Die Aufgaben eines Bewährungshelfers sind im §56 </w:t>
      </w:r>
      <w:hyperlink r:id="rId12" w:tgtFrame="_blank" w:tooltip="Externer Link in neuem Fenster" w:history="1">
        <w:r w:rsidRPr="00852763">
          <w:rPr>
            <w:color w:val="0000FF"/>
            <w:sz w:val="24"/>
            <w:szCs w:val="24"/>
            <w:u w:val="single"/>
          </w:rPr>
          <w:t>StGB [extern]</w:t>
        </w:r>
      </w:hyperlink>
      <w:r w:rsidRPr="00852763">
        <w:rPr>
          <w:sz w:val="24"/>
          <w:szCs w:val="24"/>
        </w:rPr>
        <w:t xml:space="preserve"> festgelegt. </w:t>
      </w:r>
    </w:p>
    <w:p w14:paraId="172D9CF0" w14:textId="77777777" w:rsidR="00E67628" w:rsidRDefault="00852763" w:rsidP="00E67628">
      <w:pPr>
        <w:spacing w:before="100" w:beforeAutospacing="1" w:after="100" w:afterAutospacing="1"/>
        <w:jc w:val="both"/>
        <w:rPr>
          <w:sz w:val="24"/>
          <w:szCs w:val="24"/>
        </w:rPr>
      </w:pPr>
      <w:r w:rsidRPr="00852763">
        <w:rPr>
          <w:sz w:val="24"/>
          <w:szCs w:val="24"/>
        </w:rPr>
        <w:br/>
        <w:t>Die Bewährungshilfe erfüllt eine Doppelfunktion: Sie dient zum einen der Hilfe und Betreuung des Probanden, zum anderen seiner Überwachung.</w:t>
      </w:r>
    </w:p>
    <w:p w14:paraId="4BEA7456" w14:textId="77777777" w:rsidR="00E67628" w:rsidRDefault="00852763" w:rsidP="00E67628">
      <w:pPr>
        <w:spacing w:before="100" w:beforeAutospacing="1" w:after="100" w:afterAutospacing="1"/>
        <w:jc w:val="both"/>
        <w:rPr>
          <w:sz w:val="24"/>
          <w:szCs w:val="24"/>
        </w:rPr>
      </w:pPr>
      <w:r w:rsidRPr="00852763">
        <w:rPr>
          <w:sz w:val="24"/>
          <w:szCs w:val="24"/>
        </w:rPr>
        <w:br/>
        <w:t>Bewährungshelfer arbeiten mit Methoden der Sozialen Arbeit. Im Mittelpunkt steht dabei die Einzelfallhilfe. Sie wird ergänzt durch Soziale Gruppenarbeit, Projektarbeit und ehrenamtliche Mitarbeit.</w:t>
      </w:r>
    </w:p>
    <w:p w14:paraId="7C7DD637" w14:textId="77777777" w:rsidR="00E67628" w:rsidRDefault="00852763" w:rsidP="00E67628">
      <w:pPr>
        <w:spacing w:before="100" w:beforeAutospacing="1" w:after="100" w:afterAutospacing="1"/>
        <w:jc w:val="both"/>
        <w:rPr>
          <w:sz w:val="24"/>
          <w:szCs w:val="24"/>
        </w:rPr>
      </w:pPr>
      <w:r w:rsidRPr="00852763">
        <w:rPr>
          <w:sz w:val="24"/>
          <w:szCs w:val="24"/>
        </w:rPr>
        <w:br/>
        <w:t xml:space="preserve">Die Betreuung durch den Bewährungshelfer ist in erster Linie als Hilfe zur Selbsthilfe zu </w:t>
      </w:r>
      <w:r w:rsidRPr="00852763">
        <w:rPr>
          <w:sz w:val="24"/>
          <w:szCs w:val="24"/>
        </w:rPr>
        <w:lastRenderedPageBreak/>
        <w:t xml:space="preserve">verstehen. Sie beinhaltet Motivation und Anleitung zu notwendigen Verhaltensänderungen. Sie umfasst z. B. Beratung, Unterstützung und praktische Hilfen bei persönlichen, finanziellen und anderen Alltagsproblemen, Hilfestellungen beim Umgang mit Behörden, Vermittlung an therapeutische Einrichtungen oder Beratungsstellen (z. B. Suchtberatung, Schuldnerberatung, Ehe- und Erziehungsberatung) sowie die Nutzung vorhandener oder zu schaffender Netzwerke. </w:t>
      </w:r>
    </w:p>
    <w:p w14:paraId="028FE70F" w14:textId="77777777" w:rsidR="00852763" w:rsidRPr="00852763" w:rsidRDefault="00852763" w:rsidP="00E67628">
      <w:pPr>
        <w:spacing w:before="100" w:beforeAutospacing="1" w:after="100" w:afterAutospacing="1"/>
        <w:jc w:val="both"/>
        <w:rPr>
          <w:sz w:val="24"/>
          <w:szCs w:val="24"/>
        </w:rPr>
      </w:pPr>
      <w:r w:rsidRPr="00852763">
        <w:rPr>
          <w:sz w:val="24"/>
          <w:szCs w:val="24"/>
        </w:rPr>
        <w:br/>
        <w:t>Die Überwachung des Probanden beinhaltet insbesondere zu kontrollieren, ob gerichtlich angeordneter Auflagen und Weisungen erfüllt werden, sowie die Überprüfung der Lebensführung (z. B. Wohnsituation, Arbeit/Ausbildung usw.) des Probanden, vor allem im Hinblick auf Gefährdungsmomente und Rückfallrisiken.</w:t>
      </w:r>
    </w:p>
    <w:p w14:paraId="659FCD4A" w14:textId="77777777" w:rsidR="00852763" w:rsidRPr="00852763" w:rsidRDefault="00852763" w:rsidP="00852763">
      <w:pPr>
        <w:rPr>
          <w:sz w:val="24"/>
          <w:szCs w:val="24"/>
        </w:rPr>
      </w:pPr>
      <w:hyperlink r:id="rId13" w:anchor="stmjpagetop#stmjpagetop" w:tooltip="Zurück zur Inhaltsübersicht" w:history="1">
        <w:r w:rsidRPr="00852763">
          <w:rPr>
            <w:color w:val="0000FF"/>
            <w:sz w:val="24"/>
            <w:szCs w:val="24"/>
            <w:u w:val="single"/>
          </w:rPr>
          <w:t xml:space="preserve">Nach </w:t>
        </w:r>
        <w:proofErr w:type="gramStart"/>
        <w:r w:rsidRPr="00852763">
          <w:rPr>
            <w:color w:val="0000FF"/>
            <w:sz w:val="24"/>
            <w:szCs w:val="24"/>
            <w:u w:val="single"/>
          </w:rPr>
          <w:t>Oben</w:t>
        </w:r>
        <w:proofErr w:type="gramEnd"/>
      </w:hyperlink>
      <w:r w:rsidRPr="00852763">
        <w:rPr>
          <w:sz w:val="24"/>
          <w:szCs w:val="24"/>
        </w:rPr>
        <w:t xml:space="preserve"> </w:t>
      </w:r>
    </w:p>
    <w:p w14:paraId="3E937B7C" w14:textId="77777777" w:rsidR="00852763" w:rsidRPr="00852763" w:rsidRDefault="00852763" w:rsidP="00852763">
      <w:pPr>
        <w:spacing w:before="100" w:beforeAutospacing="1" w:after="100" w:afterAutospacing="1"/>
        <w:outlineLvl w:val="2"/>
        <w:rPr>
          <w:b/>
          <w:bCs/>
          <w:sz w:val="27"/>
          <w:szCs w:val="27"/>
        </w:rPr>
      </w:pPr>
      <w:bookmarkStart w:id="3" w:name="anker_sprungmarke_0_7"/>
      <w:r w:rsidRPr="00852763">
        <w:rPr>
          <w:b/>
          <w:bCs/>
          <w:sz w:val="27"/>
          <w:szCs w:val="27"/>
        </w:rPr>
        <w:t>Bewährungsverlauf</w:t>
      </w:r>
      <w:bookmarkEnd w:id="3"/>
    </w:p>
    <w:p w14:paraId="3AF5083B" w14:textId="77777777" w:rsidR="00852763" w:rsidRPr="00852763" w:rsidRDefault="00852763" w:rsidP="00852763">
      <w:pPr>
        <w:spacing w:before="100" w:beforeAutospacing="1" w:after="100" w:afterAutospacing="1"/>
        <w:rPr>
          <w:sz w:val="24"/>
          <w:szCs w:val="24"/>
        </w:rPr>
      </w:pPr>
      <w:r w:rsidRPr="00852763">
        <w:rPr>
          <w:sz w:val="24"/>
          <w:szCs w:val="24"/>
        </w:rPr>
        <w:t xml:space="preserve">Im Rahmen der Bewährungsbetreuung erwarten Bewährungshelfer von ihren Probanden: </w:t>
      </w:r>
    </w:p>
    <w:p w14:paraId="6549A483" w14:textId="77777777" w:rsidR="00852763" w:rsidRPr="00852763" w:rsidRDefault="00852763" w:rsidP="00852763">
      <w:pPr>
        <w:numPr>
          <w:ilvl w:val="0"/>
          <w:numId w:val="5"/>
        </w:numPr>
        <w:spacing w:before="100" w:beforeAutospacing="1" w:after="100" w:afterAutospacing="1"/>
        <w:rPr>
          <w:sz w:val="24"/>
          <w:szCs w:val="24"/>
        </w:rPr>
      </w:pPr>
      <w:r w:rsidRPr="00852763">
        <w:rPr>
          <w:sz w:val="24"/>
          <w:szCs w:val="24"/>
        </w:rPr>
        <w:t xml:space="preserve">regelmäßigen Kontakt </w:t>
      </w:r>
    </w:p>
    <w:p w14:paraId="553910B4" w14:textId="77777777" w:rsidR="00852763" w:rsidRPr="00852763" w:rsidRDefault="00852763" w:rsidP="00852763">
      <w:pPr>
        <w:numPr>
          <w:ilvl w:val="0"/>
          <w:numId w:val="5"/>
        </w:numPr>
        <w:spacing w:before="100" w:beforeAutospacing="1" w:after="100" w:afterAutospacing="1"/>
        <w:rPr>
          <w:sz w:val="24"/>
          <w:szCs w:val="24"/>
        </w:rPr>
      </w:pPr>
      <w:r w:rsidRPr="00852763">
        <w:rPr>
          <w:sz w:val="24"/>
          <w:szCs w:val="24"/>
        </w:rPr>
        <w:t xml:space="preserve">die Erfüllung von Auflagen und Weisungen </w:t>
      </w:r>
    </w:p>
    <w:p w14:paraId="09429E70" w14:textId="77777777" w:rsidR="00852763" w:rsidRPr="00852763" w:rsidRDefault="00852763" w:rsidP="00852763">
      <w:pPr>
        <w:numPr>
          <w:ilvl w:val="0"/>
          <w:numId w:val="5"/>
        </w:numPr>
        <w:spacing w:before="100" w:beforeAutospacing="1" w:after="100" w:afterAutospacing="1"/>
        <w:rPr>
          <w:sz w:val="24"/>
          <w:szCs w:val="24"/>
        </w:rPr>
      </w:pPr>
      <w:r w:rsidRPr="00852763">
        <w:rPr>
          <w:sz w:val="24"/>
          <w:szCs w:val="24"/>
        </w:rPr>
        <w:t xml:space="preserve">Informationen über Veränderungen wie z.B. Wohnungs- oder Arbeitsplatzwechsel </w:t>
      </w:r>
    </w:p>
    <w:p w14:paraId="5BC4E862" w14:textId="77777777" w:rsidR="00E67628" w:rsidRDefault="00852763" w:rsidP="00E67628">
      <w:pPr>
        <w:spacing w:before="100" w:beforeAutospacing="1" w:after="100" w:afterAutospacing="1"/>
        <w:jc w:val="both"/>
        <w:rPr>
          <w:sz w:val="24"/>
          <w:szCs w:val="24"/>
        </w:rPr>
      </w:pPr>
      <w:r w:rsidRPr="00852763">
        <w:rPr>
          <w:sz w:val="24"/>
          <w:szCs w:val="24"/>
        </w:rPr>
        <w:t xml:space="preserve">Einen Bewährungswiderruf riskieren Probanden, wenn sie eine neue Straftat begehen, Auflagen und Weisungen nicht erfüllen oder keinen Kontakt zum Bewährungshelfer halten bzw. diesen Kontakt abbrechen. Andere gerichtliche Reaktionen hierauf können z.B. sein: Verlängerung der Bewährungszeit, zusätzliche Auflagen und Weisungen; im Jugendverfahren auch Jugendarrest. </w:t>
      </w:r>
    </w:p>
    <w:p w14:paraId="2C13CC32" w14:textId="77777777" w:rsidR="00E67628" w:rsidRDefault="00852763" w:rsidP="00E67628">
      <w:pPr>
        <w:spacing w:before="100" w:beforeAutospacing="1" w:after="100" w:afterAutospacing="1"/>
        <w:jc w:val="both"/>
        <w:rPr>
          <w:sz w:val="24"/>
          <w:szCs w:val="24"/>
        </w:rPr>
      </w:pPr>
      <w:r w:rsidRPr="00852763">
        <w:rPr>
          <w:sz w:val="24"/>
          <w:szCs w:val="24"/>
        </w:rPr>
        <w:br/>
        <w:t>Sollte ein Proband mit dem Bewährungshelfer nicht auskommen, kann grundsätzlich, in Absprache mit dem Richter, ein Be</w:t>
      </w:r>
      <w:r w:rsidR="00E67628">
        <w:rPr>
          <w:sz w:val="24"/>
          <w:szCs w:val="24"/>
        </w:rPr>
        <w:t>währungshelferwechsel erfolgen.</w:t>
      </w:r>
    </w:p>
    <w:p w14:paraId="0E8D76C7" w14:textId="77777777" w:rsidR="00852763" w:rsidRPr="00852763" w:rsidRDefault="00852763" w:rsidP="00E67628">
      <w:pPr>
        <w:spacing w:before="100" w:beforeAutospacing="1" w:after="100" w:afterAutospacing="1"/>
        <w:jc w:val="both"/>
        <w:rPr>
          <w:sz w:val="24"/>
          <w:szCs w:val="24"/>
        </w:rPr>
      </w:pPr>
      <w:r w:rsidRPr="00852763">
        <w:rPr>
          <w:sz w:val="24"/>
          <w:szCs w:val="24"/>
        </w:rPr>
        <w:br/>
        <w:t xml:space="preserve">Es besteht auch die Möglichkeit bei Gericht eine Verkürzung der Bewährungszeit oder eine Aufhebung der Unterstellung anzuregen bzw. zu beantragen. </w:t>
      </w:r>
    </w:p>
    <w:p w14:paraId="64127740" w14:textId="77777777" w:rsidR="00C54FD4" w:rsidRDefault="00C54FD4" w:rsidP="00C54FD4">
      <w:pPr>
        <w:rPr>
          <w:rFonts w:ascii="Tahoma" w:hAnsi="Tahoma" w:cs="Tahoma"/>
          <w:b/>
          <w:sz w:val="22"/>
          <w:szCs w:val="22"/>
          <w:u w:val="single"/>
        </w:rPr>
      </w:pPr>
    </w:p>
    <w:p w14:paraId="3375AC9D" w14:textId="77777777" w:rsidR="00E67628" w:rsidRDefault="00E67628" w:rsidP="00C54FD4">
      <w:pPr>
        <w:rPr>
          <w:rFonts w:ascii="Tahoma" w:hAnsi="Tahoma" w:cs="Tahoma"/>
          <w:b/>
          <w:u w:val="single"/>
        </w:rPr>
        <w:sectPr w:rsidR="00E67628" w:rsidSect="00852763">
          <w:footerReference w:type="first" r:id="rId14"/>
          <w:pgSz w:w="11906" w:h="16838" w:code="9"/>
          <w:pgMar w:top="1418" w:right="1276" w:bottom="1134" w:left="1814" w:header="720" w:footer="851" w:gutter="0"/>
          <w:paperSrc w:first="32" w:other="32"/>
          <w:cols w:space="720"/>
          <w:titlePg/>
        </w:sectPr>
      </w:pPr>
    </w:p>
    <w:p w14:paraId="446BDF1F" w14:textId="77777777" w:rsidR="00C57715" w:rsidRDefault="00C57715" w:rsidP="00E67628"/>
    <w:sectPr w:rsidR="00C577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6EF5" w14:textId="77777777" w:rsidR="00C3173E" w:rsidRDefault="00C3173E">
      <w:r>
        <w:separator/>
      </w:r>
    </w:p>
  </w:endnote>
  <w:endnote w:type="continuationSeparator" w:id="0">
    <w:p w14:paraId="0566DE25" w14:textId="77777777" w:rsidR="00C3173E" w:rsidRDefault="00C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9DD1" w14:textId="77777777" w:rsidR="00852763" w:rsidRPr="006747F2" w:rsidRDefault="00852763" w:rsidP="00852763">
    <w:pPr>
      <w:pStyle w:val="Fuzeile"/>
      <w:jc w:val="right"/>
    </w:pPr>
    <w:r>
      <w:rPr>
        <w:rStyle w:val="Seitenzahl"/>
      </w:rPr>
      <w:fldChar w:fldCharType="begin"/>
    </w:r>
    <w:r>
      <w:rPr>
        <w:rStyle w:val="Seitenzahl"/>
      </w:rPr>
      <w:instrText xml:space="preserve"> PAGE </w:instrText>
    </w:r>
    <w:r>
      <w:rPr>
        <w:rStyle w:val="Seitenzahl"/>
      </w:rPr>
      <w:fldChar w:fldCharType="separate"/>
    </w:r>
    <w:r w:rsidR="009761B3">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C178" w14:textId="77777777" w:rsidR="00C3173E" w:rsidRDefault="00C3173E">
      <w:r>
        <w:separator/>
      </w:r>
    </w:p>
  </w:footnote>
  <w:footnote w:type="continuationSeparator" w:id="0">
    <w:p w14:paraId="351DDE84" w14:textId="77777777" w:rsidR="00C3173E" w:rsidRDefault="00C3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B68"/>
    <w:multiLevelType w:val="multilevel"/>
    <w:tmpl w:val="8F2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4EB1"/>
    <w:multiLevelType w:val="hybridMultilevel"/>
    <w:tmpl w:val="3C9EEF4C"/>
    <w:lvl w:ilvl="0" w:tplc="D53E6CF2">
      <w:start w:val="15"/>
      <w:numFmt w:val="decimal"/>
      <w:lvlText w:val="%1."/>
      <w:lvlJc w:val="left"/>
      <w:pPr>
        <w:tabs>
          <w:tab w:val="num" w:pos="360"/>
        </w:tabs>
        <w:ind w:left="360" w:hanging="360"/>
      </w:pPr>
      <w:rPr>
        <w:b/>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2E66328B"/>
    <w:multiLevelType w:val="singleLevel"/>
    <w:tmpl w:val="0E30A27A"/>
    <w:lvl w:ilvl="0">
      <w:start w:val="14"/>
      <w:numFmt w:val="decimal"/>
      <w:lvlText w:val="%1."/>
      <w:lvlJc w:val="left"/>
      <w:pPr>
        <w:tabs>
          <w:tab w:val="num" w:pos="644"/>
        </w:tabs>
        <w:ind w:left="644" w:hanging="360"/>
      </w:pPr>
      <w:rPr>
        <w:rFonts w:ascii="Tahoma" w:hAnsi="Tahoma" w:cs="Tahoma" w:hint="default"/>
        <w:b/>
        <w:i w:val="0"/>
        <w:strike w:val="0"/>
        <w:dstrike w:val="0"/>
        <w:u w:val="none"/>
        <w:effect w:val="none"/>
      </w:rPr>
    </w:lvl>
  </w:abstractNum>
  <w:abstractNum w:abstractNumId="3" w15:restartNumberingAfterBreak="0">
    <w:nsid w:val="31512C67"/>
    <w:multiLevelType w:val="singleLevel"/>
    <w:tmpl w:val="42C63BB6"/>
    <w:lvl w:ilvl="0">
      <w:start w:val="1"/>
      <w:numFmt w:val="lowerLetter"/>
      <w:lvlText w:val="%1)"/>
      <w:lvlJc w:val="left"/>
      <w:pPr>
        <w:tabs>
          <w:tab w:val="num" w:pos="360"/>
        </w:tabs>
        <w:ind w:left="0" w:firstLine="0"/>
      </w:pPr>
    </w:lvl>
  </w:abstractNum>
  <w:abstractNum w:abstractNumId="4" w15:restartNumberingAfterBreak="0">
    <w:nsid w:val="42545AE3"/>
    <w:multiLevelType w:val="hybridMultilevel"/>
    <w:tmpl w:val="CE1A502A"/>
    <w:lvl w:ilvl="0" w:tplc="04070001">
      <w:start w:val="16"/>
      <w:numFmt w:val="decimal"/>
      <w:lvlText w:val="%1."/>
      <w:lvlJc w:val="left"/>
      <w:pPr>
        <w:tabs>
          <w:tab w:val="num" w:pos="717"/>
        </w:tabs>
        <w:ind w:left="717" w:hanging="360"/>
      </w:pPr>
      <w:rPr>
        <w:rFonts w:ascii="Tahoma" w:hAnsi="Tahoma" w:cs="Tahoma" w:hint="default"/>
        <w:b/>
        <w:i w:val="0"/>
        <w:strike w:val="0"/>
        <w:dstrike w:val="0"/>
        <w:u w:val="none"/>
        <w:effect w:val="none"/>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16cid:durableId="351881606">
    <w:abstractNumId w:val="3"/>
    <w:lvlOverride w:ilvl="0">
      <w:startOverride w:val="1"/>
    </w:lvlOverride>
  </w:num>
  <w:num w:numId="2" w16cid:durableId="1326787143">
    <w:abstractNumId w:val="2"/>
    <w:lvlOverride w:ilvl="0">
      <w:startOverride w:val="14"/>
    </w:lvlOverride>
  </w:num>
  <w:num w:numId="3" w16cid:durableId="55601452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710142">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29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D4"/>
    <w:rsid w:val="000019CA"/>
    <w:rsid w:val="00003385"/>
    <w:rsid w:val="00006505"/>
    <w:rsid w:val="00006E5A"/>
    <w:rsid w:val="0000760E"/>
    <w:rsid w:val="0001188A"/>
    <w:rsid w:val="00015531"/>
    <w:rsid w:val="00015CCA"/>
    <w:rsid w:val="00017280"/>
    <w:rsid w:val="00030AA9"/>
    <w:rsid w:val="00030FF0"/>
    <w:rsid w:val="00031287"/>
    <w:rsid w:val="0003344E"/>
    <w:rsid w:val="0003375A"/>
    <w:rsid w:val="00034E72"/>
    <w:rsid w:val="00036783"/>
    <w:rsid w:val="00040D6C"/>
    <w:rsid w:val="00043E68"/>
    <w:rsid w:val="00044FF4"/>
    <w:rsid w:val="00051131"/>
    <w:rsid w:val="00057AAD"/>
    <w:rsid w:val="00060000"/>
    <w:rsid w:val="00077970"/>
    <w:rsid w:val="000811DF"/>
    <w:rsid w:val="0008411D"/>
    <w:rsid w:val="00093B14"/>
    <w:rsid w:val="00094B8D"/>
    <w:rsid w:val="000A33FD"/>
    <w:rsid w:val="000A35B7"/>
    <w:rsid w:val="000C4AC2"/>
    <w:rsid w:val="000C7D85"/>
    <w:rsid w:val="000D7A40"/>
    <w:rsid w:val="000D7BC5"/>
    <w:rsid w:val="000E0301"/>
    <w:rsid w:val="000E1886"/>
    <w:rsid w:val="000E1F2B"/>
    <w:rsid w:val="000E1FCE"/>
    <w:rsid w:val="000F0C4B"/>
    <w:rsid w:val="000F0FA5"/>
    <w:rsid w:val="000F40E4"/>
    <w:rsid w:val="00102EC8"/>
    <w:rsid w:val="0010403E"/>
    <w:rsid w:val="00115D0B"/>
    <w:rsid w:val="001179E4"/>
    <w:rsid w:val="00121688"/>
    <w:rsid w:val="0013161A"/>
    <w:rsid w:val="00134A7B"/>
    <w:rsid w:val="00135133"/>
    <w:rsid w:val="001558EB"/>
    <w:rsid w:val="00155D62"/>
    <w:rsid w:val="00161F0B"/>
    <w:rsid w:val="0017104C"/>
    <w:rsid w:val="00173215"/>
    <w:rsid w:val="001755E3"/>
    <w:rsid w:val="00182ADB"/>
    <w:rsid w:val="00182EDE"/>
    <w:rsid w:val="00183302"/>
    <w:rsid w:val="0018378F"/>
    <w:rsid w:val="00184359"/>
    <w:rsid w:val="001943DA"/>
    <w:rsid w:val="001963DE"/>
    <w:rsid w:val="00197341"/>
    <w:rsid w:val="001A3DBA"/>
    <w:rsid w:val="001B14D9"/>
    <w:rsid w:val="001B71D8"/>
    <w:rsid w:val="001C1FFD"/>
    <w:rsid w:val="001C20BF"/>
    <w:rsid w:val="001D0C9B"/>
    <w:rsid w:val="001D6665"/>
    <w:rsid w:val="001E281C"/>
    <w:rsid w:val="001E2B5E"/>
    <w:rsid w:val="001E565F"/>
    <w:rsid w:val="001F4E8E"/>
    <w:rsid w:val="001F57BB"/>
    <w:rsid w:val="001F77E4"/>
    <w:rsid w:val="00201E12"/>
    <w:rsid w:val="0020706F"/>
    <w:rsid w:val="00207BAD"/>
    <w:rsid w:val="002213B1"/>
    <w:rsid w:val="00227B7F"/>
    <w:rsid w:val="00231A19"/>
    <w:rsid w:val="00236C6B"/>
    <w:rsid w:val="00243377"/>
    <w:rsid w:val="0025104E"/>
    <w:rsid w:val="00252FC9"/>
    <w:rsid w:val="00254165"/>
    <w:rsid w:val="0025592A"/>
    <w:rsid w:val="00256F50"/>
    <w:rsid w:val="00294A93"/>
    <w:rsid w:val="00294E9A"/>
    <w:rsid w:val="002A5719"/>
    <w:rsid w:val="002A6D91"/>
    <w:rsid w:val="002B0A53"/>
    <w:rsid w:val="002C46BA"/>
    <w:rsid w:val="002D10E9"/>
    <w:rsid w:val="002E002E"/>
    <w:rsid w:val="002E324D"/>
    <w:rsid w:val="002E490C"/>
    <w:rsid w:val="002E5A26"/>
    <w:rsid w:val="002E6EF5"/>
    <w:rsid w:val="002F24F7"/>
    <w:rsid w:val="002F7FC6"/>
    <w:rsid w:val="00303CDB"/>
    <w:rsid w:val="00311F78"/>
    <w:rsid w:val="003154FF"/>
    <w:rsid w:val="003270C3"/>
    <w:rsid w:val="00327AA5"/>
    <w:rsid w:val="00331FEE"/>
    <w:rsid w:val="00336035"/>
    <w:rsid w:val="003362ED"/>
    <w:rsid w:val="00340D2E"/>
    <w:rsid w:val="00342D6E"/>
    <w:rsid w:val="0035101D"/>
    <w:rsid w:val="00351C53"/>
    <w:rsid w:val="00351CE6"/>
    <w:rsid w:val="00353091"/>
    <w:rsid w:val="003550F8"/>
    <w:rsid w:val="003571BE"/>
    <w:rsid w:val="003630FE"/>
    <w:rsid w:val="00366585"/>
    <w:rsid w:val="00370183"/>
    <w:rsid w:val="003722D5"/>
    <w:rsid w:val="00377AC5"/>
    <w:rsid w:val="0038268E"/>
    <w:rsid w:val="00383D92"/>
    <w:rsid w:val="00384998"/>
    <w:rsid w:val="00387CF6"/>
    <w:rsid w:val="003922EA"/>
    <w:rsid w:val="00393884"/>
    <w:rsid w:val="00395E4B"/>
    <w:rsid w:val="003A00E5"/>
    <w:rsid w:val="003A1DE5"/>
    <w:rsid w:val="003A61DC"/>
    <w:rsid w:val="003A7148"/>
    <w:rsid w:val="003B6198"/>
    <w:rsid w:val="003C4C11"/>
    <w:rsid w:val="003D06A3"/>
    <w:rsid w:val="003D1BFE"/>
    <w:rsid w:val="003E0B22"/>
    <w:rsid w:val="003E4BB0"/>
    <w:rsid w:val="003F3CA3"/>
    <w:rsid w:val="00403BED"/>
    <w:rsid w:val="004057BB"/>
    <w:rsid w:val="00411C18"/>
    <w:rsid w:val="00412E66"/>
    <w:rsid w:val="00414927"/>
    <w:rsid w:val="00441F05"/>
    <w:rsid w:val="00443762"/>
    <w:rsid w:val="004444A9"/>
    <w:rsid w:val="0044548D"/>
    <w:rsid w:val="00447693"/>
    <w:rsid w:val="00452908"/>
    <w:rsid w:val="004659E4"/>
    <w:rsid w:val="0046796F"/>
    <w:rsid w:val="004800A1"/>
    <w:rsid w:val="0048192F"/>
    <w:rsid w:val="00497662"/>
    <w:rsid w:val="004A2F58"/>
    <w:rsid w:val="004A7B0E"/>
    <w:rsid w:val="004B3924"/>
    <w:rsid w:val="004C2C7E"/>
    <w:rsid w:val="004C48F1"/>
    <w:rsid w:val="004C78D0"/>
    <w:rsid w:val="004D2068"/>
    <w:rsid w:val="004D2E4D"/>
    <w:rsid w:val="004D6349"/>
    <w:rsid w:val="004D7B18"/>
    <w:rsid w:val="004E1049"/>
    <w:rsid w:val="004E53D2"/>
    <w:rsid w:val="004E76FE"/>
    <w:rsid w:val="004F07F1"/>
    <w:rsid w:val="004F182A"/>
    <w:rsid w:val="004F247D"/>
    <w:rsid w:val="004F3B3A"/>
    <w:rsid w:val="005025A8"/>
    <w:rsid w:val="00502782"/>
    <w:rsid w:val="00511243"/>
    <w:rsid w:val="00521518"/>
    <w:rsid w:val="00522A90"/>
    <w:rsid w:val="005252D7"/>
    <w:rsid w:val="00525EFA"/>
    <w:rsid w:val="00526A7F"/>
    <w:rsid w:val="00526D44"/>
    <w:rsid w:val="00535911"/>
    <w:rsid w:val="0054129A"/>
    <w:rsid w:val="00542A5B"/>
    <w:rsid w:val="00543697"/>
    <w:rsid w:val="0055289F"/>
    <w:rsid w:val="00555D82"/>
    <w:rsid w:val="00580EBC"/>
    <w:rsid w:val="00585857"/>
    <w:rsid w:val="00586EEF"/>
    <w:rsid w:val="005A00F4"/>
    <w:rsid w:val="005A2BFC"/>
    <w:rsid w:val="005A6553"/>
    <w:rsid w:val="005B0F62"/>
    <w:rsid w:val="005B571B"/>
    <w:rsid w:val="005C18E4"/>
    <w:rsid w:val="005C3526"/>
    <w:rsid w:val="005C5A81"/>
    <w:rsid w:val="005C66FC"/>
    <w:rsid w:val="005D5AFF"/>
    <w:rsid w:val="005D7D20"/>
    <w:rsid w:val="005E5DA1"/>
    <w:rsid w:val="005E7600"/>
    <w:rsid w:val="005F660E"/>
    <w:rsid w:val="00601F91"/>
    <w:rsid w:val="00603DA1"/>
    <w:rsid w:val="00613D66"/>
    <w:rsid w:val="0062144B"/>
    <w:rsid w:val="00621E55"/>
    <w:rsid w:val="0062351F"/>
    <w:rsid w:val="006252E3"/>
    <w:rsid w:val="006254C5"/>
    <w:rsid w:val="00626E99"/>
    <w:rsid w:val="0063433B"/>
    <w:rsid w:val="006438ED"/>
    <w:rsid w:val="0065088F"/>
    <w:rsid w:val="00652DB8"/>
    <w:rsid w:val="00655588"/>
    <w:rsid w:val="00670275"/>
    <w:rsid w:val="00675A24"/>
    <w:rsid w:val="0067700A"/>
    <w:rsid w:val="00677E29"/>
    <w:rsid w:val="00680636"/>
    <w:rsid w:val="00680BA3"/>
    <w:rsid w:val="00684A68"/>
    <w:rsid w:val="006917DB"/>
    <w:rsid w:val="00691A6E"/>
    <w:rsid w:val="006948D8"/>
    <w:rsid w:val="00697422"/>
    <w:rsid w:val="006A0DF1"/>
    <w:rsid w:val="006A3B3D"/>
    <w:rsid w:val="006A52C7"/>
    <w:rsid w:val="006A5598"/>
    <w:rsid w:val="006A619A"/>
    <w:rsid w:val="006A6DC2"/>
    <w:rsid w:val="006B0FBE"/>
    <w:rsid w:val="006B3AD5"/>
    <w:rsid w:val="006B73FE"/>
    <w:rsid w:val="006C35BC"/>
    <w:rsid w:val="006D1A2D"/>
    <w:rsid w:val="006D6A2D"/>
    <w:rsid w:val="006D73DC"/>
    <w:rsid w:val="006D74C0"/>
    <w:rsid w:val="006F4289"/>
    <w:rsid w:val="006F642C"/>
    <w:rsid w:val="006F7084"/>
    <w:rsid w:val="00705E8D"/>
    <w:rsid w:val="00706C86"/>
    <w:rsid w:val="00714B75"/>
    <w:rsid w:val="0072012D"/>
    <w:rsid w:val="00750177"/>
    <w:rsid w:val="0075528F"/>
    <w:rsid w:val="00755F48"/>
    <w:rsid w:val="00765606"/>
    <w:rsid w:val="0077101F"/>
    <w:rsid w:val="0077205C"/>
    <w:rsid w:val="007966D4"/>
    <w:rsid w:val="007B5ECE"/>
    <w:rsid w:val="007B6F77"/>
    <w:rsid w:val="007B7C6C"/>
    <w:rsid w:val="007C2C96"/>
    <w:rsid w:val="007D681E"/>
    <w:rsid w:val="007E191E"/>
    <w:rsid w:val="007E19FE"/>
    <w:rsid w:val="007E2CF1"/>
    <w:rsid w:val="007E31A0"/>
    <w:rsid w:val="0080044D"/>
    <w:rsid w:val="00802717"/>
    <w:rsid w:val="008032A4"/>
    <w:rsid w:val="00806199"/>
    <w:rsid w:val="00806CF7"/>
    <w:rsid w:val="00826335"/>
    <w:rsid w:val="0083408B"/>
    <w:rsid w:val="008355E1"/>
    <w:rsid w:val="008358DD"/>
    <w:rsid w:val="00835F0C"/>
    <w:rsid w:val="00837F52"/>
    <w:rsid w:val="00850E5F"/>
    <w:rsid w:val="00852763"/>
    <w:rsid w:val="00856C84"/>
    <w:rsid w:val="00863F00"/>
    <w:rsid w:val="008730A9"/>
    <w:rsid w:val="00873EBF"/>
    <w:rsid w:val="00895E7F"/>
    <w:rsid w:val="0089736E"/>
    <w:rsid w:val="008A4D49"/>
    <w:rsid w:val="008A5F92"/>
    <w:rsid w:val="008B5C8A"/>
    <w:rsid w:val="008C1B97"/>
    <w:rsid w:val="008C7A49"/>
    <w:rsid w:val="008D588D"/>
    <w:rsid w:val="008D6D28"/>
    <w:rsid w:val="008E0165"/>
    <w:rsid w:val="008E033F"/>
    <w:rsid w:val="008E0803"/>
    <w:rsid w:val="008F0F50"/>
    <w:rsid w:val="008F5D11"/>
    <w:rsid w:val="008F5F74"/>
    <w:rsid w:val="008F633E"/>
    <w:rsid w:val="00903CE5"/>
    <w:rsid w:val="00906787"/>
    <w:rsid w:val="009141F0"/>
    <w:rsid w:val="009145AF"/>
    <w:rsid w:val="00916E51"/>
    <w:rsid w:val="0093090F"/>
    <w:rsid w:val="009541F4"/>
    <w:rsid w:val="00956C82"/>
    <w:rsid w:val="009577FE"/>
    <w:rsid w:val="00957E63"/>
    <w:rsid w:val="009614F9"/>
    <w:rsid w:val="00964E83"/>
    <w:rsid w:val="009665F0"/>
    <w:rsid w:val="0097299E"/>
    <w:rsid w:val="00975786"/>
    <w:rsid w:val="009761B3"/>
    <w:rsid w:val="0097650A"/>
    <w:rsid w:val="00980BF4"/>
    <w:rsid w:val="00992381"/>
    <w:rsid w:val="00992CA3"/>
    <w:rsid w:val="00997F44"/>
    <w:rsid w:val="009A09EC"/>
    <w:rsid w:val="009A27E7"/>
    <w:rsid w:val="009A661A"/>
    <w:rsid w:val="009B3E3B"/>
    <w:rsid w:val="009B6AF1"/>
    <w:rsid w:val="009C35BE"/>
    <w:rsid w:val="009C70B4"/>
    <w:rsid w:val="009D3B3A"/>
    <w:rsid w:val="009F0567"/>
    <w:rsid w:val="009F1318"/>
    <w:rsid w:val="009F6284"/>
    <w:rsid w:val="00A026CD"/>
    <w:rsid w:val="00A03C0E"/>
    <w:rsid w:val="00A07B88"/>
    <w:rsid w:val="00A126BA"/>
    <w:rsid w:val="00A13799"/>
    <w:rsid w:val="00A21355"/>
    <w:rsid w:val="00A33527"/>
    <w:rsid w:val="00A358DF"/>
    <w:rsid w:val="00A44370"/>
    <w:rsid w:val="00A448EC"/>
    <w:rsid w:val="00A55C6A"/>
    <w:rsid w:val="00A55DBB"/>
    <w:rsid w:val="00A572F6"/>
    <w:rsid w:val="00A652F5"/>
    <w:rsid w:val="00A65F74"/>
    <w:rsid w:val="00A704D0"/>
    <w:rsid w:val="00A74616"/>
    <w:rsid w:val="00A76B63"/>
    <w:rsid w:val="00A81F22"/>
    <w:rsid w:val="00A91018"/>
    <w:rsid w:val="00A95D44"/>
    <w:rsid w:val="00A972F4"/>
    <w:rsid w:val="00AA0580"/>
    <w:rsid w:val="00AA6A93"/>
    <w:rsid w:val="00AB2831"/>
    <w:rsid w:val="00AB7188"/>
    <w:rsid w:val="00AB7321"/>
    <w:rsid w:val="00AC0BCB"/>
    <w:rsid w:val="00AC227E"/>
    <w:rsid w:val="00AC2AEF"/>
    <w:rsid w:val="00AC3C16"/>
    <w:rsid w:val="00AC4DA6"/>
    <w:rsid w:val="00AC75D8"/>
    <w:rsid w:val="00AC7639"/>
    <w:rsid w:val="00AE1648"/>
    <w:rsid w:val="00AF2649"/>
    <w:rsid w:val="00B0760E"/>
    <w:rsid w:val="00B10F62"/>
    <w:rsid w:val="00B21EF7"/>
    <w:rsid w:val="00B328DA"/>
    <w:rsid w:val="00B42647"/>
    <w:rsid w:val="00B469FC"/>
    <w:rsid w:val="00B64C7A"/>
    <w:rsid w:val="00B678ED"/>
    <w:rsid w:val="00B757C1"/>
    <w:rsid w:val="00B8292C"/>
    <w:rsid w:val="00BA12E8"/>
    <w:rsid w:val="00BA5D36"/>
    <w:rsid w:val="00BB2219"/>
    <w:rsid w:val="00BB2ABF"/>
    <w:rsid w:val="00BB66E4"/>
    <w:rsid w:val="00BB7793"/>
    <w:rsid w:val="00BC1EAF"/>
    <w:rsid w:val="00BD211E"/>
    <w:rsid w:val="00BD7588"/>
    <w:rsid w:val="00BE6CB4"/>
    <w:rsid w:val="00BE6DD5"/>
    <w:rsid w:val="00BE7A2E"/>
    <w:rsid w:val="00BF2C97"/>
    <w:rsid w:val="00C04647"/>
    <w:rsid w:val="00C0685E"/>
    <w:rsid w:val="00C11631"/>
    <w:rsid w:val="00C13D1B"/>
    <w:rsid w:val="00C1491A"/>
    <w:rsid w:val="00C17ECF"/>
    <w:rsid w:val="00C21E34"/>
    <w:rsid w:val="00C23EA4"/>
    <w:rsid w:val="00C305F7"/>
    <w:rsid w:val="00C3173E"/>
    <w:rsid w:val="00C32E90"/>
    <w:rsid w:val="00C3612E"/>
    <w:rsid w:val="00C36F46"/>
    <w:rsid w:val="00C47130"/>
    <w:rsid w:val="00C515A2"/>
    <w:rsid w:val="00C54FD4"/>
    <w:rsid w:val="00C55E28"/>
    <w:rsid w:val="00C57715"/>
    <w:rsid w:val="00C61C16"/>
    <w:rsid w:val="00C8590C"/>
    <w:rsid w:val="00C85FC9"/>
    <w:rsid w:val="00C91DC4"/>
    <w:rsid w:val="00CA2324"/>
    <w:rsid w:val="00CA32DA"/>
    <w:rsid w:val="00CB06CC"/>
    <w:rsid w:val="00CB1E2D"/>
    <w:rsid w:val="00CB2889"/>
    <w:rsid w:val="00CB40EA"/>
    <w:rsid w:val="00CC1559"/>
    <w:rsid w:val="00CC4F9B"/>
    <w:rsid w:val="00CD071B"/>
    <w:rsid w:val="00CD2D7D"/>
    <w:rsid w:val="00CD5A0E"/>
    <w:rsid w:val="00CD5D14"/>
    <w:rsid w:val="00CD6689"/>
    <w:rsid w:val="00CD6B57"/>
    <w:rsid w:val="00CE2ABF"/>
    <w:rsid w:val="00CE4710"/>
    <w:rsid w:val="00CF0BF0"/>
    <w:rsid w:val="00CF1A8B"/>
    <w:rsid w:val="00CF1EC8"/>
    <w:rsid w:val="00CF79DE"/>
    <w:rsid w:val="00D15933"/>
    <w:rsid w:val="00D23B52"/>
    <w:rsid w:val="00D33E2F"/>
    <w:rsid w:val="00D36315"/>
    <w:rsid w:val="00D3781D"/>
    <w:rsid w:val="00D40831"/>
    <w:rsid w:val="00D51328"/>
    <w:rsid w:val="00D517F6"/>
    <w:rsid w:val="00D54455"/>
    <w:rsid w:val="00D6242C"/>
    <w:rsid w:val="00D731A7"/>
    <w:rsid w:val="00D80742"/>
    <w:rsid w:val="00D808C3"/>
    <w:rsid w:val="00D82A70"/>
    <w:rsid w:val="00D86D84"/>
    <w:rsid w:val="00D95EA3"/>
    <w:rsid w:val="00D9654A"/>
    <w:rsid w:val="00DA0A4E"/>
    <w:rsid w:val="00DB04C7"/>
    <w:rsid w:val="00DB1931"/>
    <w:rsid w:val="00DB3031"/>
    <w:rsid w:val="00DB78CC"/>
    <w:rsid w:val="00DC091E"/>
    <w:rsid w:val="00DC70E1"/>
    <w:rsid w:val="00DC749B"/>
    <w:rsid w:val="00DD0539"/>
    <w:rsid w:val="00DD6915"/>
    <w:rsid w:val="00DE5D19"/>
    <w:rsid w:val="00DE6A49"/>
    <w:rsid w:val="00DF035E"/>
    <w:rsid w:val="00DF078C"/>
    <w:rsid w:val="00DF3569"/>
    <w:rsid w:val="00DF7752"/>
    <w:rsid w:val="00E02A60"/>
    <w:rsid w:val="00E16DF9"/>
    <w:rsid w:val="00E23012"/>
    <w:rsid w:val="00E25CA0"/>
    <w:rsid w:val="00E30579"/>
    <w:rsid w:val="00E33539"/>
    <w:rsid w:val="00E377DA"/>
    <w:rsid w:val="00E41124"/>
    <w:rsid w:val="00E41416"/>
    <w:rsid w:val="00E4266B"/>
    <w:rsid w:val="00E435E9"/>
    <w:rsid w:val="00E55F5E"/>
    <w:rsid w:val="00E60C96"/>
    <w:rsid w:val="00E6418E"/>
    <w:rsid w:val="00E64996"/>
    <w:rsid w:val="00E67628"/>
    <w:rsid w:val="00E70280"/>
    <w:rsid w:val="00E723B5"/>
    <w:rsid w:val="00E748FA"/>
    <w:rsid w:val="00E812A6"/>
    <w:rsid w:val="00E82769"/>
    <w:rsid w:val="00EA22D3"/>
    <w:rsid w:val="00EA3EC8"/>
    <w:rsid w:val="00EA616E"/>
    <w:rsid w:val="00EA79D1"/>
    <w:rsid w:val="00EB0CDF"/>
    <w:rsid w:val="00EB1C65"/>
    <w:rsid w:val="00EB4094"/>
    <w:rsid w:val="00EC442D"/>
    <w:rsid w:val="00EC4C3A"/>
    <w:rsid w:val="00EC616F"/>
    <w:rsid w:val="00ED402D"/>
    <w:rsid w:val="00ED51F4"/>
    <w:rsid w:val="00ED5610"/>
    <w:rsid w:val="00ED5E2D"/>
    <w:rsid w:val="00ED6095"/>
    <w:rsid w:val="00EE0E83"/>
    <w:rsid w:val="00EE571C"/>
    <w:rsid w:val="00EF1613"/>
    <w:rsid w:val="00EF18C9"/>
    <w:rsid w:val="00EF1A14"/>
    <w:rsid w:val="00EF72BE"/>
    <w:rsid w:val="00F050E8"/>
    <w:rsid w:val="00F17566"/>
    <w:rsid w:val="00F25C6D"/>
    <w:rsid w:val="00F267D2"/>
    <w:rsid w:val="00F27B4E"/>
    <w:rsid w:val="00F33E4B"/>
    <w:rsid w:val="00F34F69"/>
    <w:rsid w:val="00F37CDC"/>
    <w:rsid w:val="00F42375"/>
    <w:rsid w:val="00F46984"/>
    <w:rsid w:val="00F53D92"/>
    <w:rsid w:val="00F5417B"/>
    <w:rsid w:val="00F634B2"/>
    <w:rsid w:val="00F63684"/>
    <w:rsid w:val="00F77745"/>
    <w:rsid w:val="00F77992"/>
    <w:rsid w:val="00F77C16"/>
    <w:rsid w:val="00F91E6F"/>
    <w:rsid w:val="00F94139"/>
    <w:rsid w:val="00F95FCC"/>
    <w:rsid w:val="00FA099E"/>
    <w:rsid w:val="00FA0EBB"/>
    <w:rsid w:val="00FA5FFC"/>
    <w:rsid w:val="00FB2C8D"/>
    <w:rsid w:val="00FB4001"/>
    <w:rsid w:val="00FC557E"/>
    <w:rsid w:val="00FD21BF"/>
    <w:rsid w:val="00FD50BA"/>
    <w:rsid w:val="00FE31EC"/>
    <w:rsid w:val="00FE34DE"/>
    <w:rsid w:val="00FE612F"/>
    <w:rsid w:val="00FF0428"/>
    <w:rsid w:val="00FF0B93"/>
    <w:rsid w:val="00FF3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E2EF5"/>
  <w15:chartTrackingRefBased/>
  <w15:docId w15:val="{AE7B381F-6170-4206-82E6-B1052419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54FD4"/>
  </w:style>
  <w:style w:type="paragraph" w:styleId="berschrift3">
    <w:name w:val="heading 3"/>
    <w:basedOn w:val="Standard"/>
    <w:qFormat/>
    <w:rsid w:val="00852763"/>
    <w:pPr>
      <w:spacing w:before="100" w:beforeAutospacing="1" w:after="100" w:afterAutospacing="1"/>
      <w:outlineLvl w:val="2"/>
    </w:pPr>
    <w:rPr>
      <w:b/>
      <w:bCs/>
      <w:sz w:val="27"/>
      <w:szCs w:val="27"/>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C54FD4"/>
    <w:pPr>
      <w:tabs>
        <w:tab w:val="center" w:pos="4536"/>
        <w:tab w:val="right" w:pos="9072"/>
      </w:tabs>
    </w:pPr>
  </w:style>
  <w:style w:type="paragraph" w:styleId="Textkrper">
    <w:name w:val="Body Text"/>
    <w:basedOn w:val="Standard"/>
    <w:rsid w:val="00C54FD4"/>
    <w:pPr>
      <w:tabs>
        <w:tab w:val="left" w:pos="142"/>
        <w:tab w:val="right" w:pos="8719"/>
      </w:tabs>
      <w:spacing w:line="360" w:lineRule="auto"/>
      <w:jc w:val="both"/>
    </w:pPr>
    <w:rPr>
      <w:sz w:val="24"/>
    </w:rPr>
  </w:style>
  <w:style w:type="paragraph" w:customStyle="1" w:styleId="3berschriftname">
    <w:name w:val="3.Überschrift (name)"/>
    <w:basedOn w:val="Standard"/>
    <w:rsid w:val="00C54FD4"/>
    <w:pPr>
      <w:tabs>
        <w:tab w:val="right" w:pos="6663"/>
        <w:tab w:val="right" w:pos="9356"/>
      </w:tabs>
      <w:spacing w:line="360" w:lineRule="auto"/>
      <w:ind w:right="-540"/>
    </w:pPr>
    <w:rPr>
      <w:sz w:val="24"/>
    </w:rPr>
  </w:style>
  <w:style w:type="character" w:styleId="Seitenzahl">
    <w:name w:val="page number"/>
    <w:basedOn w:val="Absatz-Standardschriftart"/>
    <w:rsid w:val="00C54FD4"/>
  </w:style>
  <w:style w:type="character" w:styleId="Hyperlink">
    <w:name w:val="Hyperlink"/>
    <w:basedOn w:val="Absatz-Standardschriftart"/>
    <w:rsid w:val="00852763"/>
    <w:rPr>
      <w:color w:val="0000FF"/>
      <w:u w:val="single"/>
    </w:rPr>
  </w:style>
  <w:style w:type="paragraph" w:customStyle="1" w:styleId="text">
    <w:name w:val="text"/>
    <w:basedOn w:val="Standard"/>
    <w:rsid w:val="00852763"/>
    <w:pPr>
      <w:spacing w:before="100" w:beforeAutospacing="1" w:after="100" w:afterAutospacing="1"/>
    </w:pPr>
    <w:rPr>
      <w:sz w:val="24"/>
      <w:szCs w:val="24"/>
    </w:rPr>
  </w:style>
  <w:style w:type="character" w:styleId="Fett">
    <w:name w:val="Strong"/>
    <w:basedOn w:val="Absatz-Standardschriftart"/>
    <w:qFormat/>
    <w:rsid w:val="00852763"/>
    <w:rPr>
      <w:b/>
      <w:bCs/>
    </w:rPr>
  </w:style>
  <w:style w:type="paragraph" w:styleId="Dokumentstruktur">
    <w:name w:val="Document Map"/>
    <w:basedOn w:val="Standard"/>
    <w:semiHidden/>
    <w:rsid w:val="006B3AD5"/>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502274">
      <w:bodyDiv w:val="1"/>
      <w:marLeft w:val="0"/>
      <w:marRight w:val="0"/>
      <w:marTop w:val="0"/>
      <w:marBottom w:val="0"/>
      <w:divBdr>
        <w:top w:val="none" w:sz="0" w:space="0" w:color="auto"/>
        <w:left w:val="none" w:sz="0" w:space="0" w:color="auto"/>
        <w:bottom w:val="none" w:sz="0" w:space="0" w:color="auto"/>
        <w:right w:val="none" w:sz="0" w:space="0" w:color="auto"/>
      </w:divBdr>
      <w:divsChild>
        <w:div w:id="44161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undesrecht.juris.de/jgg/index.html" TargetMode="External"/><Relationship Id="rId13" Type="http://schemas.openxmlformats.org/officeDocument/2006/relationships/hyperlink" Target="http://www.justiz.bayern.de/gericht/lg/m1/bwh/" TargetMode="External"/><Relationship Id="rId3" Type="http://schemas.openxmlformats.org/officeDocument/2006/relationships/settings" Target="settings.xml"/><Relationship Id="rId7" Type="http://schemas.openxmlformats.org/officeDocument/2006/relationships/hyperlink" Target="http://bundesrecht.juris.de/stgb/index.html" TargetMode="External"/><Relationship Id="rId12" Type="http://schemas.openxmlformats.org/officeDocument/2006/relationships/hyperlink" Target="http://bundesrecht.juris.de/stgb/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z.bayern.de/gericht/lg/m1/bw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undesrecht.juris.de/btmg_1981/index.html" TargetMode="External"/><Relationship Id="rId4" Type="http://schemas.openxmlformats.org/officeDocument/2006/relationships/webSettings" Target="webSettings.xml"/><Relationship Id="rId9" Type="http://schemas.openxmlformats.org/officeDocument/2006/relationships/hyperlink" Target="http://by.juris.de/by/GnO_BY_2006_rahmen.ht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6202</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Weilheim i</vt:lpstr>
    </vt:vector>
  </TitlesOfParts>
  <Company>"Bayerisches Staatsministerium der Justiz"</Company>
  <LinksUpToDate>false</LinksUpToDate>
  <CharactersWithSpaces>6997</CharactersWithSpaces>
  <SharedDoc>false</SharedDoc>
  <HLinks>
    <vt:vector size="42" baseType="variant">
      <vt:variant>
        <vt:i4>4259843</vt:i4>
      </vt:variant>
      <vt:variant>
        <vt:i4>18</vt:i4>
      </vt:variant>
      <vt:variant>
        <vt:i4>0</vt:i4>
      </vt:variant>
      <vt:variant>
        <vt:i4>5</vt:i4>
      </vt:variant>
      <vt:variant>
        <vt:lpwstr>http://www.justiz.bayern.de/gericht/lg/m1/bwh/</vt:lpwstr>
      </vt:variant>
      <vt:variant>
        <vt:lpwstr>stmjpagetop#stmjpagetop</vt:lpwstr>
      </vt:variant>
      <vt:variant>
        <vt:i4>6357109</vt:i4>
      </vt:variant>
      <vt:variant>
        <vt:i4>15</vt:i4>
      </vt:variant>
      <vt:variant>
        <vt:i4>0</vt:i4>
      </vt:variant>
      <vt:variant>
        <vt:i4>5</vt:i4>
      </vt:variant>
      <vt:variant>
        <vt:lpwstr>http://bundesrecht.juris.de/stgb/index.html</vt:lpwstr>
      </vt:variant>
      <vt:variant>
        <vt:lpwstr/>
      </vt:variant>
      <vt:variant>
        <vt:i4>4259843</vt:i4>
      </vt:variant>
      <vt:variant>
        <vt:i4>12</vt:i4>
      </vt:variant>
      <vt:variant>
        <vt:i4>0</vt:i4>
      </vt:variant>
      <vt:variant>
        <vt:i4>5</vt:i4>
      </vt:variant>
      <vt:variant>
        <vt:lpwstr>http://www.justiz.bayern.de/gericht/lg/m1/bwh/</vt:lpwstr>
      </vt:variant>
      <vt:variant>
        <vt:lpwstr>stmjpagetop#stmjpagetop</vt:lpwstr>
      </vt:variant>
      <vt:variant>
        <vt:i4>983095</vt:i4>
      </vt:variant>
      <vt:variant>
        <vt:i4>9</vt:i4>
      </vt:variant>
      <vt:variant>
        <vt:i4>0</vt:i4>
      </vt:variant>
      <vt:variant>
        <vt:i4>5</vt:i4>
      </vt:variant>
      <vt:variant>
        <vt:lpwstr>http://bundesrecht.juris.de/btmg_1981/index.html</vt:lpwstr>
      </vt:variant>
      <vt:variant>
        <vt:lpwstr/>
      </vt:variant>
      <vt:variant>
        <vt:i4>983103</vt:i4>
      </vt:variant>
      <vt:variant>
        <vt:i4>6</vt:i4>
      </vt:variant>
      <vt:variant>
        <vt:i4>0</vt:i4>
      </vt:variant>
      <vt:variant>
        <vt:i4>5</vt:i4>
      </vt:variant>
      <vt:variant>
        <vt:lpwstr>http://by.juris.de/by/GnO_BY_2006_rahmen.htm</vt:lpwstr>
      </vt:variant>
      <vt:variant>
        <vt:lpwstr/>
      </vt:variant>
      <vt:variant>
        <vt:i4>7471202</vt:i4>
      </vt:variant>
      <vt:variant>
        <vt:i4>3</vt:i4>
      </vt:variant>
      <vt:variant>
        <vt:i4>0</vt:i4>
      </vt:variant>
      <vt:variant>
        <vt:i4>5</vt:i4>
      </vt:variant>
      <vt:variant>
        <vt:lpwstr>http://bundesrecht.juris.de/jgg/index.html</vt:lpwstr>
      </vt:variant>
      <vt:variant>
        <vt:lpwstr/>
      </vt:variant>
      <vt:variant>
        <vt:i4>6357109</vt:i4>
      </vt:variant>
      <vt:variant>
        <vt:i4>0</vt:i4>
      </vt:variant>
      <vt:variant>
        <vt:i4>0</vt:i4>
      </vt:variant>
      <vt:variant>
        <vt:i4>5</vt:i4>
      </vt:variant>
      <vt:variant>
        <vt:lpwstr>http://bundesrecht.juris.de/stgb/index.html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Weilheim i</dc:title>
  <dc:subject/>
  <dc:creator>eberlewilhelm</dc:creator>
  <cp:keywords/>
  <dc:description/>
  <cp:lastModifiedBy>Bunge, Kevin</cp:lastModifiedBy>
  <cp:revision>2</cp:revision>
  <dcterms:created xsi:type="dcterms:W3CDTF">2025-04-08T07:04:00Z</dcterms:created>
  <dcterms:modified xsi:type="dcterms:W3CDTF">2025-04-08T07:04:00Z</dcterms:modified>
</cp:coreProperties>
</file>